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AF6497">
      <w:bookmarkStart w:id="0" w:name="_GoBack"/>
      <w:bookmarkEnd w:id="0"/>
      <w:r>
        <w:rPr>
          <w:b/>
          <w:sz w:val="32"/>
        </w:rPr>
        <w:t>Template C: Complex / High-Risk Plush — Editable Gantt Template</w:t>
      </w:r>
    </w:p>
    <w:p w14:paraId="574CBFEF">
      <w:r>
        <w:rPr>
          <w:i/>
        </w:rPr>
        <w:t>Complexity adds checkpoints—plan extra sampling and parallel testing.</w:t>
      </w:r>
    </w:p>
    <w:p w14:paraId="447941F8">
      <w:r>
        <w:t>Use this template when you have magnets/electronics, complex attachments, special prints/coatings, strict market/channel requirements, or multiple approvers. Plan more sampling time, lock final spec earlier, and allocate buffer for testing and documentation—ideally running testing in parallel where possible.</w:t>
      </w:r>
    </w:p>
    <w:p w14:paraId="554E5158">
      <w:pPr>
        <w:pStyle w:val="4"/>
      </w:pPr>
      <w:r>
        <w:t>Project Inputs (Fill In)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4C2ED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DDF5D91">
            <w:pPr>
              <w:spacing w:after="0" w:line="240" w:lineRule="auto"/>
            </w:pPr>
            <w:r>
              <w:t>Target arrival date (warehouse/3PL/retail DC/FBA)</w:t>
            </w:r>
          </w:p>
        </w:tc>
        <w:tc>
          <w:tcPr>
            <w:tcW w:w="4320" w:type="dxa"/>
          </w:tcPr>
          <w:p w14:paraId="0B49E7B2">
            <w:pPr>
              <w:spacing w:after="0" w:line="240" w:lineRule="auto"/>
            </w:pPr>
          </w:p>
        </w:tc>
      </w:tr>
      <w:tr w14:paraId="08A26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8DA002F">
            <w:pPr>
              <w:spacing w:after="0" w:line="240" w:lineRule="auto"/>
            </w:pPr>
            <w:r>
              <w:t>Destination type + channel requirements (retail / e-commerce / licensed)</w:t>
            </w:r>
          </w:p>
        </w:tc>
        <w:tc>
          <w:tcPr>
            <w:tcW w:w="4320" w:type="dxa"/>
          </w:tcPr>
          <w:p w14:paraId="3C38377E">
            <w:pPr>
              <w:spacing w:after="0" w:line="240" w:lineRule="auto"/>
            </w:pPr>
          </w:p>
        </w:tc>
      </w:tr>
      <w:tr w14:paraId="46435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5637CD2">
            <w:pPr>
              <w:spacing w:after="0" w:line="240" w:lineRule="auto"/>
            </w:pPr>
            <w:r>
              <w:t>Shipping method (air / sea / express / split)</w:t>
            </w:r>
          </w:p>
        </w:tc>
        <w:tc>
          <w:tcPr>
            <w:tcW w:w="4320" w:type="dxa"/>
          </w:tcPr>
          <w:p w14:paraId="4E3FE265">
            <w:pPr>
              <w:spacing w:after="0" w:line="240" w:lineRule="auto"/>
            </w:pPr>
          </w:p>
        </w:tc>
      </w:tr>
      <w:tr w14:paraId="69251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30ADF48F">
            <w:pPr>
              <w:spacing w:after="0" w:line="240" w:lineRule="auto"/>
            </w:pPr>
            <w:r>
              <w:t>Incoterms (FOB / FCA / CIF / DAP / DDP etc.)</w:t>
            </w:r>
          </w:p>
        </w:tc>
        <w:tc>
          <w:tcPr>
            <w:tcW w:w="4320" w:type="dxa"/>
          </w:tcPr>
          <w:p w14:paraId="0ACD1BD5">
            <w:pPr>
              <w:spacing w:after="0" w:line="240" w:lineRule="auto"/>
            </w:pPr>
          </w:p>
        </w:tc>
      </w:tr>
      <w:tr w14:paraId="4709E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29EA7AB7">
            <w:pPr>
              <w:spacing w:after="0" w:line="240" w:lineRule="auto"/>
            </w:pPr>
            <w:r>
              <w:t>SKU count + variant notes (colors/sizes)</w:t>
            </w:r>
          </w:p>
        </w:tc>
        <w:tc>
          <w:tcPr>
            <w:tcW w:w="4320" w:type="dxa"/>
          </w:tcPr>
          <w:p w14:paraId="22913CF5">
            <w:pPr>
              <w:spacing w:after="0" w:line="240" w:lineRule="auto"/>
            </w:pPr>
          </w:p>
        </w:tc>
      </w:tr>
      <w:tr w14:paraId="71334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9560104">
            <w:pPr>
              <w:spacing w:after="0" w:line="240" w:lineRule="auto"/>
            </w:pPr>
            <w:r>
              <w:t>Components list (magnets/electronics/mechanisms)</w:t>
            </w:r>
          </w:p>
        </w:tc>
        <w:tc>
          <w:tcPr>
            <w:tcW w:w="4320" w:type="dxa"/>
          </w:tcPr>
          <w:p w14:paraId="73698E07">
            <w:pPr>
              <w:spacing w:after="0" w:line="240" w:lineRule="auto"/>
            </w:pPr>
          </w:p>
        </w:tc>
      </w:tr>
      <w:tr w14:paraId="59415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65D46F0">
            <w:pPr>
              <w:spacing w:after="0" w:line="240" w:lineRule="auto"/>
            </w:pPr>
            <w:r>
              <w:t>Decoration plan (printing/coatings/embroidery/patch) + placement notes</w:t>
            </w:r>
          </w:p>
        </w:tc>
        <w:tc>
          <w:tcPr>
            <w:tcW w:w="4320" w:type="dxa"/>
          </w:tcPr>
          <w:p w14:paraId="30FBF8E2">
            <w:pPr>
              <w:spacing w:after="0" w:line="240" w:lineRule="auto"/>
            </w:pPr>
          </w:p>
        </w:tc>
      </w:tr>
      <w:tr w14:paraId="32049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EF7131A">
            <w:pPr>
              <w:spacing w:after="0" w:line="240" w:lineRule="auto"/>
            </w:pPr>
            <w:r>
              <w:t>Age grade + labeling rules (languages, warnings, barcode/SKU placement)</w:t>
            </w:r>
          </w:p>
        </w:tc>
        <w:tc>
          <w:tcPr>
            <w:tcW w:w="4320" w:type="dxa"/>
          </w:tcPr>
          <w:p w14:paraId="17F28207">
            <w:pPr>
              <w:spacing w:after="0" w:line="240" w:lineRule="auto"/>
            </w:pPr>
          </w:p>
        </w:tc>
      </w:tr>
      <w:tr w14:paraId="07EBF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7556FD4">
            <w:pPr>
              <w:spacing w:after="0" w:line="240" w:lineRule="auto"/>
            </w:pPr>
            <w:r>
              <w:t>Compliance/testing scope (market + required standards + nominated lab if any)</w:t>
            </w:r>
          </w:p>
        </w:tc>
        <w:tc>
          <w:tcPr>
            <w:tcW w:w="4320" w:type="dxa"/>
          </w:tcPr>
          <w:p w14:paraId="3A762AB7">
            <w:pPr>
              <w:spacing w:after="0" w:line="240" w:lineRule="auto"/>
            </w:pPr>
          </w:p>
        </w:tc>
      </w:tr>
      <w:tr w14:paraId="7FA2E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B9746BC">
            <w:pPr>
              <w:spacing w:after="0" w:line="240" w:lineRule="auto"/>
            </w:pPr>
            <w:r>
              <w:t>Approver list + decision owner (who signs off each round)</w:t>
            </w:r>
          </w:p>
        </w:tc>
        <w:tc>
          <w:tcPr>
            <w:tcW w:w="4320" w:type="dxa"/>
          </w:tcPr>
          <w:p w14:paraId="64ADAC45">
            <w:pPr>
              <w:spacing w:after="0" w:line="240" w:lineRule="auto"/>
            </w:pPr>
          </w:p>
        </w:tc>
      </w:tr>
    </w:tbl>
    <w:p w14:paraId="499D845E"/>
    <w:p w14:paraId="002CD904">
      <w:pPr>
        <w:pStyle w:val="4"/>
      </w:pPr>
      <w:r>
        <w:t>Best For</w:t>
      </w:r>
    </w:p>
    <w:p w14:paraId="2F38378F">
      <w:pPr>
        <w:pStyle w:val="16"/>
      </w:pPr>
      <w:r>
        <w:t>Magnets / electronics / special mechanisms</w:t>
      </w:r>
    </w:p>
    <w:p w14:paraId="4378B87A">
      <w:pPr>
        <w:pStyle w:val="16"/>
      </w:pPr>
      <w:r>
        <w:t>High-detail printing or coatings</w:t>
      </w:r>
    </w:p>
    <w:p w14:paraId="5713C779">
      <w:pPr>
        <w:pStyle w:val="16"/>
      </w:pPr>
      <w:r>
        <w:t>Strict retailer/market compliance processes</w:t>
      </w:r>
    </w:p>
    <w:p w14:paraId="3DB8266C">
      <w:pPr>
        <w:pStyle w:val="16"/>
      </w:pPr>
      <w:r>
        <w:t>Many stakeholders approving samples</w:t>
      </w:r>
    </w:p>
    <w:p w14:paraId="0208AB25">
      <w:pPr>
        <w:pStyle w:val="4"/>
      </w:pPr>
      <w:r>
        <w:t>Gantt Blocks (Week-Based)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2089"/>
        <w:gridCol w:w="2089"/>
        <w:gridCol w:w="2563"/>
      </w:tblGrid>
      <w:tr w14:paraId="4A3A3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751FF8CF">
            <w:pPr>
              <w:spacing w:after="0" w:line="240" w:lineRule="auto"/>
            </w:pPr>
            <w:r>
              <w:t>Block</w:t>
            </w:r>
          </w:p>
        </w:tc>
        <w:tc>
          <w:tcPr>
            <w:tcW w:w="2160" w:type="dxa"/>
          </w:tcPr>
          <w:p w14:paraId="75B8EE7C">
            <w:pPr>
              <w:spacing w:after="0" w:line="240" w:lineRule="auto"/>
            </w:pPr>
            <w:r>
              <w:t>Start Week</w:t>
            </w:r>
          </w:p>
        </w:tc>
        <w:tc>
          <w:tcPr>
            <w:tcW w:w="2160" w:type="dxa"/>
          </w:tcPr>
          <w:p w14:paraId="6FE1404D">
            <w:pPr>
              <w:spacing w:after="0" w:line="240" w:lineRule="auto"/>
            </w:pPr>
            <w:r>
              <w:t>End Week</w:t>
            </w:r>
          </w:p>
        </w:tc>
        <w:tc>
          <w:tcPr>
            <w:tcW w:w="2160" w:type="dxa"/>
          </w:tcPr>
          <w:p w14:paraId="3285252C">
            <w:pPr>
              <w:spacing w:after="0" w:line="240" w:lineRule="auto"/>
            </w:pPr>
            <w:r>
              <w:t>Notes / What to Lock</w:t>
            </w:r>
          </w:p>
        </w:tc>
      </w:tr>
      <w:tr w14:paraId="3B0E3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3E65C769">
            <w:pPr>
              <w:spacing w:after="0" w:line="240" w:lineRule="auto"/>
            </w:pPr>
            <w:r>
              <w:t>Feasibility + risk review + scope lock</w:t>
            </w:r>
          </w:p>
        </w:tc>
        <w:tc>
          <w:tcPr>
            <w:tcW w:w="2160" w:type="dxa"/>
          </w:tcPr>
          <w:p w14:paraId="6BBBA7DA">
            <w:pPr>
              <w:spacing w:after="0" w:line="240" w:lineRule="auto"/>
            </w:pPr>
            <w:r>
              <w:t>0</w:t>
            </w:r>
          </w:p>
        </w:tc>
        <w:tc>
          <w:tcPr>
            <w:tcW w:w="2160" w:type="dxa"/>
          </w:tcPr>
          <w:p w14:paraId="4C1DFDEE">
            <w:pPr>
              <w:spacing w:after="0" w:line="240" w:lineRule="auto"/>
            </w:pPr>
            <w:r>
              <w:t>1</w:t>
            </w:r>
          </w:p>
        </w:tc>
        <w:tc>
          <w:tcPr>
            <w:tcW w:w="2160" w:type="dxa"/>
          </w:tcPr>
          <w:p w14:paraId="43D89012">
            <w:pPr>
              <w:spacing w:after="0" w:line="240" w:lineRule="auto"/>
            </w:pPr>
            <w:r>
              <w:t>Lock scope, components list, age grade direction, and compliance path; identify high-risk points early</w:t>
            </w:r>
          </w:p>
        </w:tc>
      </w:tr>
      <w:tr w14:paraId="25FB7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6F16B515">
            <w:pPr>
              <w:spacing w:after="0" w:line="240" w:lineRule="auto"/>
            </w:pPr>
            <w:r>
              <w:t>Sampling Round 1</w:t>
            </w:r>
          </w:p>
        </w:tc>
        <w:tc>
          <w:tcPr>
            <w:tcW w:w="2160" w:type="dxa"/>
          </w:tcPr>
          <w:p w14:paraId="5BC85A9F">
            <w:pPr>
              <w:spacing w:after="0" w:line="240" w:lineRule="auto"/>
            </w:pPr>
            <w:r>
              <w:t>2</w:t>
            </w:r>
          </w:p>
        </w:tc>
        <w:tc>
          <w:tcPr>
            <w:tcW w:w="2160" w:type="dxa"/>
          </w:tcPr>
          <w:p w14:paraId="452500D5">
            <w:pPr>
              <w:spacing w:after="0" w:line="240" w:lineRule="auto"/>
            </w:pPr>
            <w:r>
              <w:t>3</w:t>
            </w:r>
          </w:p>
        </w:tc>
        <w:tc>
          <w:tcPr>
            <w:tcW w:w="2160" w:type="dxa"/>
          </w:tcPr>
          <w:p w14:paraId="124DD0FF">
            <w:pPr>
              <w:spacing w:after="0" w:line="240" w:lineRule="auto"/>
            </w:pPr>
            <w:r>
              <w:t>Validate structure + integration feasibility; collect consolidated feedback list</w:t>
            </w:r>
          </w:p>
        </w:tc>
      </w:tr>
      <w:tr w14:paraId="713B1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3CCE99C4">
            <w:pPr>
              <w:spacing w:after="0" w:line="240" w:lineRule="auto"/>
            </w:pPr>
            <w:r>
              <w:t>Sampling Round 2</w:t>
            </w:r>
          </w:p>
        </w:tc>
        <w:tc>
          <w:tcPr>
            <w:tcW w:w="2160" w:type="dxa"/>
          </w:tcPr>
          <w:p w14:paraId="07A4C0FD">
            <w:pPr>
              <w:spacing w:after="0" w:line="240" w:lineRule="auto"/>
            </w:pPr>
            <w:r>
              <w:t>4</w:t>
            </w:r>
          </w:p>
        </w:tc>
        <w:tc>
          <w:tcPr>
            <w:tcW w:w="2160" w:type="dxa"/>
          </w:tcPr>
          <w:p w14:paraId="059FD60D">
            <w:pPr>
              <w:spacing w:after="0" w:line="240" w:lineRule="auto"/>
            </w:pPr>
            <w:r>
              <w:t>5</w:t>
            </w:r>
          </w:p>
        </w:tc>
        <w:tc>
          <w:tcPr>
            <w:tcW w:w="2160" w:type="dxa"/>
          </w:tcPr>
          <w:p w14:paraId="2B2078B1">
            <w:pPr>
              <w:spacing w:after="0" w:line="240" w:lineRule="auto"/>
            </w:pPr>
            <w:r>
              <w:t>Refine decoration/attachments; confirm repeatability and safety-critical details</w:t>
            </w:r>
          </w:p>
        </w:tc>
      </w:tr>
      <w:tr w14:paraId="6CF1C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0E7DA577">
            <w:pPr>
              <w:spacing w:after="0" w:line="240" w:lineRule="auto"/>
            </w:pPr>
            <w:r>
              <w:t>Pre-production approval (golden sample lock)</w:t>
            </w:r>
          </w:p>
        </w:tc>
        <w:tc>
          <w:tcPr>
            <w:tcW w:w="2160" w:type="dxa"/>
          </w:tcPr>
          <w:p w14:paraId="5F27DA0E">
            <w:pPr>
              <w:spacing w:after="0" w:line="240" w:lineRule="auto"/>
            </w:pPr>
            <w:r>
              <w:t>6</w:t>
            </w:r>
          </w:p>
        </w:tc>
        <w:tc>
          <w:tcPr>
            <w:tcW w:w="2160" w:type="dxa"/>
          </w:tcPr>
          <w:p w14:paraId="1DA24DEB">
            <w:pPr>
              <w:spacing w:after="0" w:line="240" w:lineRule="auto"/>
            </w:pPr>
            <w:r>
              <w:t>6</w:t>
            </w:r>
          </w:p>
        </w:tc>
        <w:tc>
          <w:tcPr>
            <w:tcW w:w="2160" w:type="dxa"/>
          </w:tcPr>
          <w:p w14:paraId="329FB7DA">
            <w:pPr>
              <w:spacing w:after="0" w:line="240" w:lineRule="auto"/>
            </w:pPr>
            <w:r>
              <w:t>Lock final spec and golden reference standard before bulk and before final testing submission</w:t>
            </w:r>
          </w:p>
        </w:tc>
      </w:tr>
      <w:tr w14:paraId="0CCDD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0A325700">
            <w:pPr>
              <w:spacing w:after="0" w:line="240" w:lineRule="auto"/>
            </w:pPr>
            <w:r>
              <w:t>Production lead time</w:t>
            </w:r>
          </w:p>
        </w:tc>
        <w:tc>
          <w:tcPr>
            <w:tcW w:w="2160" w:type="dxa"/>
          </w:tcPr>
          <w:p w14:paraId="681F2EE9">
            <w:pPr>
              <w:spacing w:after="0" w:line="240" w:lineRule="auto"/>
            </w:pPr>
            <w:r>
              <w:t>7</w:t>
            </w:r>
          </w:p>
        </w:tc>
        <w:tc>
          <w:tcPr>
            <w:tcW w:w="2160" w:type="dxa"/>
          </w:tcPr>
          <w:p w14:paraId="0B0FEE40">
            <w:pPr>
              <w:spacing w:after="0" w:line="240" w:lineRule="auto"/>
            </w:pPr>
            <w:r>
              <w:t>12</w:t>
            </w:r>
          </w:p>
        </w:tc>
        <w:tc>
          <w:tcPr>
            <w:tcW w:w="2160" w:type="dxa"/>
          </w:tcPr>
          <w:p w14:paraId="2F45AAEC">
            <w:pPr>
              <w:spacing w:after="0" w:line="240" w:lineRule="auto"/>
            </w:pPr>
            <w:r>
              <w:t>Maintain strict change control; avoid component substitutions; protect repeatability</w:t>
            </w:r>
          </w:p>
        </w:tc>
      </w:tr>
      <w:tr w14:paraId="16908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0634F8D0">
            <w:pPr>
              <w:spacing w:after="0" w:line="240" w:lineRule="auto"/>
            </w:pPr>
            <w:r>
              <w:t>QC + packing readiness</w:t>
            </w:r>
          </w:p>
        </w:tc>
        <w:tc>
          <w:tcPr>
            <w:tcW w:w="2160" w:type="dxa"/>
          </w:tcPr>
          <w:p w14:paraId="2FF5ECE5">
            <w:pPr>
              <w:spacing w:after="0" w:line="240" w:lineRule="auto"/>
            </w:pPr>
            <w:r>
              <w:t>12</w:t>
            </w:r>
          </w:p>
        </w:tc>
        <w:tc>
          <w:tcPr>
            <w:tcW w:w="2160" w:type="dxa"/>
          </w:tcPr>
          <w:p w14:paraId="21F32C26">
            <w:pPr>
              <w:spacing w:after="0" w:line="240" w:lineRule="auto"/>
            </w:pPr>
            <w:r>
              <w:t>13</w:t>
            </w:r>
          </w:p>
        </w:tc>
        <w:tc>
          <w:tcPr>
            <w:tcW w:w="2160" w:type="dxa"/>
          </w:tcPr>
          <w:p w14:paraId="53B9BA48">
            <w:pPr>
              <w:spacing w:after="0" w:line="240" w:lineRule="auto"/>
            </w:pPr>
            <w:r>
              <w:t>Confirm packing readiness, receiving rules, and inspection evidence plan</w:t>
            </w:r>
          </w:p>
        </w:tc>
      </w:tr>
      <w:tr w14:paraId="602E6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60C4F5B2">
            <w:pPr>
              <w:spacing w:after="0" w:line="240" w:lineRule="auto"/>
            </w:pPr>
            <w:r>
              <w:t>Shipping docs + booking cut-offs</w:t>
            </w:r>
          </w:p>
        </w:tc>
        <w:tc>
          <w:tcPr>
            <w:tcW w:w="2160" w:type="dxa"/>
          </w:tcPr>
          <w:p w14:paraId="686D2B3A">
            <w:pPr>
              <w:spacing w:after="0" w:line="240" w:lineRule="auto"/>
            </w:pPr>
            <w:r>
              <w:t>12</w:t>
            </w:r>
          </w:p>
        </w:tc>
        <w:tc>
          <w:tcPr>
            <w:tcW w:w="2160" w:type="dxa"/>
          </w:tcPr>
          <w:p w14:paraId="00A96B13">
            <w:pPr>
              <w:spacing w:after="0" w:line="240" w:lineRule="auto"/>
            </w:pPr>
            <w:r>
              <w:t>13</w:t>
            </w:r>
          </w:p>
        </w:tc>
        <w:tc>
          <w:tcPr>
            <w:tcW w:w="2160" w:type="dxa"/>
          </w:tcPr>
          <w:p w14:paraId="4410F35D">
            <w:pPr>
              <w:spacing w:after="0" w:line="240" w:lineRule="auto"/>
            </w:pPr>
            <w:r>
              <w:t>Prepare CI/PL/carton data drafts; confirm consignee/notify party; coordinate with broker/forwarder</w:t>
            </w:r>
          </w:p>
        </w:tc>
      </w:tr>
      <w:tr w14:paraId="672BD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66D8D4F5">
            <w:pPr>
              <w:spacing w:after="0" w:line="240" w:lineRule="auto"/>
            </w:pPr>
            <w:r>
              <w:t>Transit (depends on method)</w:t>
            </w:r>
          </w:p>
        </w:tc>
        <w:tc>
          <w:tcPr>
            <w:tcW w:w="2160" w:type="dxa"/>
          </w:tcPr>
          <w:p w14:paraId="18F8E909">
            <w:pPr>
              <w:spacing w:after="0" w:line="240" w:lineRule="auto"/>
            </w:pPr>
            <w:r>
              <w:t>13</w:t>
            </w:r>
          </w:p>
        </w:tc>
        <w:tc>
          <w:tcPr>
            <w:tcW w:w="2160" w:type="dxa"/>
          </w:tcPr>
          <w:p w14:paraId="044D274A">
            <w:pPr>
              <w:spacing w:after="0" w:line="240" w:lineRule="auto"/>
            </w:pPr>
            <w:r>
              <w:t>—</w:t>
            </w:r>
          </w:p>
        </w:tc>
        <w:tc>
          <w:tcPr>
            <w:tcW w:w="2160" w:type="dxa"/>
          </w:tcPr>
          <w:p w14:paraId="020D8AD2">
            <w:pPr>
              <w:spacing w:after="0" w:line="240" w:lineRule="auto"/>
            </w:pPr>
            <w:r>
              <w:t>Choose method early; keep buffer for appointments and release workflow</w:t>
            </w:r>
          </w:p>
        </w:tc>
      </w:tr>
      <w:tr w14:paraId="75CCD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277C6051">
            <w:pPr>
              <w:spacing w:after="0" w:line="240" w:lineRule="auto"/>
            </w:pPr>
            <w:r>
              <w:t>Optional (parallel): Testing workflow planning</w:t>
            </w:r>
          </w:p>
        </w:tc>
        <w:tc>
          <w:tcPr>
            <w:tcW w:w="2160" w:type="dxa"/>
          </w:tcPr>
          <w:p w14:paraId="7AEE53A3">
            <w:pPr>
              <w:spacing w:after="0" w:line="240" w:lineRule="auto"/>
            </w:pPr>
            <w:r>
              <w:t>2</w:t>
            </w:r>
          </w:p>
        </w:tc>
        <w:tc>
          <w:tcPr>
            <w:tcW w:w="2160" w:type="dxa"/>
          </w:tcPr>
          <w:p w14:paraId="68BE49F2">
            <w:pPr>
              <w:spacing w:after="0" w:line="240" w:lineRule="auto"/>
            </w:pPr>
            <w:r>
              <w:t>6</w:t>
            </w:r>
          </w:p>
        </w:tc>
        <w:tc>
          <w:tcPr>
            <w:tcW w:w="2160" w:type="dxa"/>
          </w:tcPr>
          <w:p w14:paraId="2B97D345">
            <w:pPr>
              <w:spacing w:after="0" w:line="240" w:lineRule="auto"/>
            </w:pPr>
            <w:r>
              <w:t>Run planning in parallel: lab booking, scope alignment, and submission requirements to reduce idle time</w:t>
            </w:r>
          </w:p>
        </w:tc>
      </w:tr>
    </w:tbl>
    <w:p w14:paraId="6935A45E"/>
    <w:p w14:paraId="41237F9B">
      <w:pPr>
        <w:pStyle w:val="4"/>
      </w:pPr>
      <w:r>
        <w:t>Critical Must-Not-Change Items Before Any Testing Submission</w:t>
      </w:r>
    </w:p>
    <w:p w14:paraId="26361B66">
      <w:pPr>
        <w:pStyle w:val="16"/>
      </w:pPr>
      <w:r>
        <w:t>Fabric type (pile height/texture and final intent)</w:t>
      </w:r>
    </w:p>
    <w:p w14:paraId="5C4F749D">
      <w:pPr>
        <w:pStyle w:val="16"/>
      </w:pPr>
      <w:r>
        <w:t>Decoration method (printing/coatings/embroidery/patch split)</w:t>
      </w:r>
    </w:p>
    <w:p w14:paraId="72F43B5C">
      <w:pPr>
        <w:pStyle w:val="16"/>
      </w:pPr>
      <w:r>
        <w:t>Components list (magnets/electronics/mechanisms)</w:t>
      </w:r>
    </w:p>
    <w:p w14:paraId="36C09167">
      <w:pPr>
        <w:pStyle w:val="16"/>
      </w:pPr>
      <w:r>
        <w:t>Age grade + labeling rules (warnings, languages, SKU/barcode placement)</w:t>
      </w:r>
    </w:p>
    <w:p w14:paraId="579E93A4">
      <w:r>
        <w:t>Note: Templates help you plan realistically; lead time still depends on complexity, revision rounds, and shipping method.</w:t>
      </w:r>
    </w:p>
    <w:sectPr>
      <w:headerReference r:id="rId5" w:type="default"/>
      <w:footerReference r:id="rId6" w:type="default"/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8265BC">
    <w:pPr>
      <w:pStyle w:val="3"/>
    </w:pP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From :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</w:t>
    </w: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Uniomy Custom Plush Manufacturer          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                                                             </w:t>
    </w:r>
    <w:r>
      <w:rPr>
        <w:rFonts w:hint="default" w:ascii="Arial" w:hAnsi="Arial" w:eastAsia="宋体" w:cs="Arial"/>
        <w:sz w:val="16"/>
        <w:szCs w:val="16"/>
        <w:lang w:val="en-US" w:eastAsia="zh-CN"/>
      </w:rPr>
      <w:t>Nika: 86-198 8600 8806</w:t>
    </w:r>
  </w:p>
  <w:p w14:paraId="6AA858C9">
    <w:pPr>
      <w:pStyle w:val="2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262E79">
    <w:pPr>
      <w:pStyle w:val="3"/>
    </w:pP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From :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</w:t>
    </w: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Uniomy Custom Plush Manufacturer          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                                                             </w:t>
    </w:r>
    <w:r>
      <w:rPr>
        <w:rFonts w:hint="default" w:ascii="Arial" w:hAnsi="Arial" w:eastAsia="宋体" w:cs="Arial"/>
        <w:sz w:val="16"/>
        <w:szCs w:val="16"/>
        <w:lang w:val="en-US" w:eastAsia="zh-CN"/>
      </w:rPr>
      <w:t>Nika: 86-198 8600 8806</w:t>
    </w:r>
  </w:p>
  <w:p w14:paraId="34953ABA">
    <w:pPr>
      <w:pStyle w:val="2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0589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unhideWhenUsed="0" w:uiPriority="69" w:semiHidden="0" w:name="Medium Grid 3 Accent 4"/>
    <w:lsdException w:qFormat="1" w:unhideWhenUsed="0" w:uiPriority="70" w:semiHidden="0" w:name="Dark List Accent 4"/>
    <w:lsdException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unhideWhenUsed="0" w:uiPriority="69" w:semiHidden="0" w:name="Medium Grid 3 Accent 6"/>
    <w:lsdException w:qFormat="1" w:unhideWhenUsed="0" w:uiPriority="70" w:semiHidden="0" w:name="Dark List Accent 6"/>
    <w:lsdException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374</Words>
  <Characters>2435</Characters>
  <Lines>0</Lines>
  <Paragraphs>0</Paragraphs>
  <TotalTime>0</TotalTime>
  <ScaleCrop>false</ScaleCrop>
  <LinksUpToDate>false</LinksUpToDate>
  <CharactersWithSpaces>2743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1m芸嫣</cp:lastModifiedBy>
  <dcterms:modified xsi:type="dcterms:W3CDTF">2026-01-27T10:04:24Z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eyJoZGlkIjoiYjhmMzJjM2FhMzRlYmJjYWVhZTNiMDcwZTQ1NGI5ZDciLCJ1c2VySWQiOiI0OTY2NTU4ODAifQ==</vt:lpwstr>
  </property>
  <property fmtid="{D5CDD505-2E9C-101B-9397-08002B2CF9AE}" pid="3" name="KSOProductBuildVer">
    <vt:lpwstr>2052-12.1.0.24657</vt:lpwstr>
  </property>
  <property fmtid="{D5CDD505-2E9C-101B-9397-08002B2CF9AE}" pid="4" name="ICV">
    <vt:lpwstr>F59BA7751C724F30AF8CF89BE307CE04_12</vt:lpwstr>
  </property>
</Properties>
</file>