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254DD9">
      <w:r>
        <w:rPr>
          <w:b/>
          <w:sz w:val="32"/>
        </w:rPr>
        <w:t>Template B: Standard Brand Plush (Most Common) — Editable Gantt Template</w:t>
      </w:r>
    </w:p>
    <w:p w14:paraId="0A63CB05">
      <w:r>
        <w:rPr>
          <w:i/>
        </w:rPr>
        <w:t>This is the most common path for retail and e-commerce brands.</w:t>
      </w:r>
    </w:p>
    <w:p w14:paraId="55EBF319">
      <w:r>
        <w:t>Use this template for typical brand plush programs with multiple colors/variants, mixed decoration (embroidery + patch/print), packaging labels/carton marks, and 1–2 sampling rounds. It is the most realistic template for clean approvals and repeatable reorders.</w:t>
      </w:r>
    </w:p>
    <w:p w14:paraId="42ABF82C">
      <w:pPr>
        <w:pStyle w:val="4"/>
      </w:pPr>
      <w:r>
        <w:t>Project Inputs (Fill In)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21A46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6DFCD0B1">
            <w:pPr>
              <w:spacing w:after="0" w:line="240" w:lineRule="auto"/>
            </w:pPr>
            <w:r>
              <w:t>Target arrival date (warehouse/3PL/FBA)</w:t>
            </w:r>
          </w:p>
        </w:tc>
        <w:tc>
          <w:tcPr>
            <w:tcW w:w="4320" w:type="dxa"/>
          </w:tcPr>
          <w:p w14:paraId="07175919">
            <w:pPr>
              <w:spacing w:after="0" w:line="240" w:lineRule="auto"/>
            </w:pPr>
          </w:p>
        </w:tc>
      </w:tr>
      <w:tr w14:paraId="7B47F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632642E0">
            <w:pPr>
              <w:spacing w:after="0" w:line="240" w:lineRule="auto"/>
            </w:pPr>
            <w:r>
              <w:t>Destination type (3PL / retail DC / e-commerce)</w:t>
            </w:r>
          </w:p>
        </w:tc>
        <w:tc>
          <w:tcPr>
            <w:tcW w:w="4320" w:type="dxa"/>
          </w:tcPr>
          <w:p w14:paraId="2129244A">
            <w:pPr>
              <w:spacing w:after="0" w:line="240" w:lineRule="auto"/>
            </w:pPr>
          </w:p>
        </w:tc>
      </w:tr>
      <w:tr w14:paraId="2293F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657399A1">
            <w:pPr>
              <w:spacing w:after="0" w:line="240" w:lineRule="auto"/>
            </w:pPr>
            <w:r>
              <w:t>Shipping method (air / sea / express / split)</w:t>
            </w:r>
          </w:p>
        </w:tc>
        <w:tc>
          <w:tcPr>
            <w:tcW w:w="4320" w:type="dxa"/>
          </w:tcPr>
          <w:p w14:paraId="38A5F7CE">
            <w:pPr>
              <w:spacing w:after="0" w:line="240" w:lineRule="auto"/>
            </w:pPr>
          </w:p>
        </w:tc>
      </w:tr>
      <w:tr w14:paraId="56EE7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6F7E3580">
            <w:pPr>
              <w:spacing w:after="0" w:line="240" w:lineRule="auto"/>
            </w:pPr>
            <w:r>
              <w:t>Incoterms (FOB / FCA / CIF / DAP / DDP etc.)</w:t>
            </w:r>
          </w:p>
        </w:tc>
        <w:tc>
          <w:tcPr>
            <w:tcW w:w="4320" w:type="dxa"/>
          </w:tcPr>
          <w:p w14:paraId="04191A34">
            <w:pPr>
              <w:spacing w:after="0" w:line="240" w:lineRule="auto"/>
            </w:pPr>
          </w:p>
        </w:tc>
      </w:tr>
      <w:tr w14:paraId="4A350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3107A05">
            <w:pPr>
              <w:spacing w:after="0" w:line="240" w:lineRule="auto"/>
            </w:pPr>
            <w:r>
              <w:t>SKU count + variant notes (colors/sizes)</w:t>
            </w:r>
          </w:p>
        </w:tc>
        <w:tc>
          <w:tcPr>
            <w:tcW w:w="4320" w:type="dxa"/>
          </w:tcPr>
          <w:p w14:paraId="0CBED392">
            <w:pPr>
              <w:spacing w:after="0" w:line="240" w:lineRule="auto"/>
            </w:pPr>
          </w:p>
        </w:tc>
      </w:tr>
      <w:tr w14:paraId="55745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D586EA3">
            <w:pPr>
              <w:spacing w:after="0" w:line="240" w:lineRule="auto"/>
            </w:pPr>
            <w:r>
              <w:t>Decoration plan (embroidery / patch / print) + placement notes</w:t>
            </w:r>
          </w:p>
        </w:tc>
        <w:tc>
          <w:tcPr>
            <w:tcW w:w="4320" w:type="dxa"/>
          </w:tcPr>
          <w:p w14:paraId="5157FBA5">
            <w:pPr>
              <w:spacing w:after="0" w:line="240" w:lineRule="auto"/>
            </w:pPr>
          </w:p>
        </w:tc>
      </w:tr>
      <w:tr w14:paraId="7EAFB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41FAB4CC">
            <w:pPr>
              <w:spacing w:after="0" w:line="240" w:lineRule="auto"/>
            </w:pPr>
            <w:r>
              <w:t>Packaging labels required (barcode/SKU, warning text, languages)</w:t>
            </w:r>
          </w:p>
        </w:tc>
        <w:tc>
          <w:tcPr>
            <w:tcW w:w="4320" w:type="dxa"/>
          </w:tcPr>
          <w:p w14:paraId="1541A33F">
            <w:pPr>
              <w:spacing w:after="0" w:line="240" w:lineRule="auto"/>
            </w:pPr>
          </w:p>
        </w:tc>
      </w:tr>
      <w:tr w14:paraId="57426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37114241">
            <w:pPr>
              <w:spacing w:after="0" w:line="240" w:lineRule="auto"/>
            </w:pPr>
            <w:r>
              <w:t>Carton marks template + mixed-SKU carton rules (allowed or not)</w:t>
            </w:r>
          </w:p>
        </w:tc>
        <w:tc>
          <w:tcPr>
            <w:tcW w:w="4320" w:type="dxa"/>
          </w:tcPr>
          <w:p w14:paraId="65846FFB">
            <w:pPr>
              <w:spacing w:after="0" w:line="240" w:lineRule="auto"/>
            </w:pPr>
          </w:p>
        </w:tc>
      </w:tr>
    </w:tbl>
    <w:p w14:paraId="5E9C81B6"/>
    <w:p w14:paraId="7C787335">
      <w:pPr>
        <w:pStyle w:val="4"/>
      </w:pPr>
      <w:r>
        <w:t>Best For</w:t>
      </w:r>
    </w:p>
    <w:p w14:paraId="2FC4C87B">
      <w:pPr>
        <w:pStyle w:val="16"/>
      </w:pPr>
      <w:r>
        <w:t>Multiple colors/variants (SKU control matters)</w:t>
      </w:r>
    </w:p>
    <w:p w14:paraId="77BBCF68">
      <w:pPr>
        <w:pStyle w:val="16"/>
      </w:pPr>
      <w:r>
        <w:t>Embroidery + patch/print mix</w:t>
      </w:r>
    </w:p>
    <w:p w14:paraId="62CFA3AA">
      <w:pPr>
        <w:pStyle w:val="16"/>
      </w:pPr>
      <w:r>
        <w:t>Standard accessories (keychain, zipper, etc.)</w:t>
      </w:r>
    </w:p>
    <w:p w14:paraId="18842E58">
      <w:pPr>
        <w:pStyle w:val="16"/>
      </w:pPr>
      <w:r>
        <w:t>Packaging labels + carton marks required</w:t>
      </w:r>
    </w:p>
    <w:p w14:paraId="40AE44CB">
      <w:pPr>
        <w:pStyle w:val="4"/>
      </w:pPr>
      <w:r>
        <w:t>Gantt Blocks (Week-Based)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2160"/>
        <w:gridCol w:w="2160"/>
        <w:gridCol w:w="2289"/>
      </w:tblGrid>
      <w:tr w14:paraId="2A6DA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401C466C">
            <w:pPr>
              <w:spacing w:after="0" w:line="240" w:lineRule="auto"/>
            </w:pPr>
            <w:r>
              <w:t>Block</w:t>
            </w:r>
          </w:p>
        </w:tc>
        <w:tc>
          <w:tcPr>
            <w:tcW w:w="2160" w:type="dxa"/>
          </w:tcPr>
          <w:p w14:paraId="1ED6A4F4">
            <w:pPr>
              <w:spacing w:after="0" w:line="240" w:lineRule="auto"/>
            </w:pPr>
            <w:r>
              <w:t>Start Week</w:t>
            </w:r>
          </w:p>
        </w:tc>
        <w:tc>
          <w:tcPr>
            <w:tcW w:w="2160" w:type="dxa"/>
          </w:tcPr>
          <w:p w14:paraId="3E4C4AF5">
            <w:pPr>
              <w:spacing w:after="0" w:line="240" w:lineRule="auto"/>
            </w:pPr>
            <w:r>
              <w:t>End Week</w:t>
            </w:r>
          </w:p>
        </w:tc>
        <w:tc>
          <w:tcPr>
            <w:tcW w:w="2160" w:type="dxa"/>
          </w:tcPr>
          <w:p w14:paraId="3BB5FB6C">
            <w:pPr>
              <w:spacing w:after="0" w:line="240" w:lineRule="auto"/>
            </w:pPr>
            <w:r>
              <w:t>Notes / What to Lock</w:t>
            </w:r>
          </w:p>
        </w:tc>
      </w:tr>
      <w:tr w14:paraId="0492F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0C30A8AA">
            <w:pPr>
              <w:spacing w:after="0" w:line="240" w:lineRule="auto"/>
            </w:pPr>
            <w:r>
              <w:t>Feasibility + spec alignment (SKU + pack-out rules)</w:t>
            </w:r>
          </w:p>
        </w:tc>
        <w:tc>
          <w:tcPr>
            <w:tcW w:w="2160" w:type="dxa"/>
          </w:tcPr>
          <w:p w14:paraId="68FC1F24">
            <w:pPr>
              <w:spacing w:after="0" w:line="240" w:lineRule="auto"/>
            </w:pPr>
            <w:r>
              <w:t>0</w:t>
            </w:r>
          </w:p>
        </w:tc>
        <w:tc>
          <w:tcPr>
            <w:tcW w:w="2160" w:type="dxa"/>
          </w:tcPr>
          <w:p w14:paraId="060C8757">
            <w:pPr>
              <w:spacing w:after="0" w:line="240" w:lineRule="auto"/>
            </w:pPr>
            <w:r>
              <w:t>0</w:t>
            </w:r>
          </w:p>
        </w:tc>
        <w:tc>
          <w:tcPr>
            <w:tcW w:w="2160" w:type="dxa"/>
          </w:tcPr>
          <w:p w14:paraId="5204C2A6">
            <w:pPr>
              <w:spacing w:after="0" w:line="240" w:lineRule="auto"/>
            </w:pPr>
            <w:r>
              <w:t>Lock SKU list, packaging/label rules, carton marks format, destination receiving requirements</w:t>
            </w:r>
          </w:p>
        </w:tc>
      </w:tr>
      <w:tr w14:paraId="47526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75DD4D88">
            <w:pPr>
              <w:spacing w:after="0" w:line="240" w:lineRule="auto"/>
            </w:pPr>
            <w:r>
              <w:t>Sampling Round 1</w:t>
            </w:r>
          </w:p>
        </w:tc>
        <w:tc>
          <w:tcPr>
            <w:tcW w:w="2160" w:type="dxa"/>
          </w:tcPr>
          <w:p w14:paraId="47164EBC">
            <w:pPr>
              <w:spacing w:after="0" w:line="240" w:lineRule="auto"/>
            </w:pPr>
            <w:r>
              <w:t>1</w:t>
            </w:r>
          </w:p>
        </w:tc>
        <w:tc>
          <w:tcPr>
            <w:tcW w:w="2160" w:type="dxa"/>
          </w:tcPr>
          <w:p w14:paraId="55687165">
            <w:pPr>
              <w:spacing w:after="0" w:line="240" w:lineRule="auto"/>
            </w:pPr>
            <w:r>
              <w:t>2</w:t>
            </w:r>
          </w:p>
        </w:tc>
        <w:tc>
          <w:tcPr>
            <w:tcW w:w="2160" w:type="dxa"/>
          </w:tcPr>
          <w:p w14:paraId="3CDCD452">
            <w:pPr>
              <w:spacing w:after="0" w:line="240" w:lineRule="auto"/>
            </w:pPr>
            <w:r>
              <w:t>Confirm structure/appearance baseline; collect consolidated feedback list</w:t>
            </w:r>
          </w:p>
        </w:tc>
      </w:tr>
      <w:tr w14:paraId="5DFA2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341AF0E1">
            <w:pPr>
              <w:spacing w:after="0" w:line="240" w:lineRule="auto"/>
            </w:pPr>
            <w:r>
              <w:t>Sampling Round 2 + approval (golden sample lock)</w:t>
            </w:r>
          </w:p>
        </w:tc>
        <w:tc>
          <w:tcPr>
            <w:tcW w:w="2160" w:type="dxa"/>
          </w:tcPr>
          <w:p w14:paraId="79C35E6A">
            <w:pPr>
              <w:spacing w:after="0" w:line="240" w:lineRule="auto"/>
            </w:pPr>
            <w:r>
              <w:t>3</w:t>
            </w:r>
          </w:p>
        </w:tc>
        <w:tc>
          <w:tcPr>
            <w:tcW w:w="2160" w:type="dxa"/>
          </w:tcPr>
          <w:p w14:paraId="4E0D06B9">
            <w:pPr>
              <w:spacing w:after="0" w:line="240" w:lineRule="auto"/>
            </w:pPr>
            <w:r>
              <w:t>4</w:t>
            </w:r>
          </w:p>
        </w:tc>
        <w:tc>
          <w:tcPr>
            <w:tcW w:w="2160" w:type="dxa"/>
          </w:tcPr>
          <w:p w14:paraId="6FC45ED6">
            <w:pPr>
              <w:spacing w:after="0" w:line="240" w:lineRule="auto"/>
            </w:pPr>
            <w:r>
              <w:t>Lock fabric/decoration methods, placement anchors, and golden reference approval standard</w:t>
            </w:r>
          </w:p>
        </w:tc>
      </w:tr>
      <w:tr w14:paraId="262B2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342EB0D3">
            <w:pPr>
              <w:spacing w:after="0" w:line="240" w:lineRule="auto"/>
            </w:pPr>
            <w:r>
              <w:t>Production lead time</w:t>
            </w:r>
          </w:p>
        </w:tc>
        <w:tc>
          <w:tcPr>
            <w:tcW w:w="2160" w:type="dxa"/>
          </w:tcPr>
          <w:p w14:paraId="40730685">
            <w:pPr>
              <w:spacing w:after="0" w:line="240" w:lineRule="auto"/>
            </w:pPr>
            <w:r>
              <w:t>5</w:t>
            </w:r>
          </w:p>
        </w:tc>
        <w:tc>
          <w:tcPr>
            <w:tcW w:w="2160" w:type="dxa"/>
          </w:tcPr>
          <w:p w14:paraId="5B1C5931">
            <w:pPr>
              <w:spacing w:after="0" w:line="240" w:lineRule="auto"/>
            </w:pPr>
            <w:r>
              <w:t>9</w:t>
            </w:r>
          </w:p>
        </w:tc>
        <w:tc>
          <w:tcPr>
            <w:tcW w:w="2160" w:type="dxa"/>
          </w:tcPr>
          <w:p w14:paraId="55D0A013">
            <w:pPr>
              <w:spacing w:after="0" w:line="240" w:lineRule="auto"/>
            </w:pPr>
            <w:r>
              <w:t>Keep must-not-change items locked; control variant changeovers to protect efficiency</w:t>
            </w:r>
          </w:p>
        </w:tc>
      </w:tr>
      <w:tr w14:paraId="45BAD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4EBA1E18">
            <w:pPr>
              <w:spacing w:after="0" w:line="240" w:lineRule="auto"/>
            </w:pPr>
            <w:r>
              <w:t>QC + packing + carton marks lock</w:t>
            </w:r>
          </w:p>
        </w:tc>
        <w:tc>
          <w:tcPr>
            <w:tcW w:w="2160" w:type="dxa"/>
          </w:tcPr>
          <w:p w14:paraId="3030EA30">
            <w:pPr>
              <w:spacing w:after="0" w:line="240" w:lineRule="auto"/>
            </w:pPr>
            <w:r>
              <w:t>9</w:t>
            </w:r>
          </w:p>
        </w:tc>
        <w:tc>
          <w:tcPr>
            <w:tcW w:w="2160" w:type="dxa"/>
          </w:tcPr>
          <w:p w14:paraId="1BF8AEA4">
            <w:pPr>
              <w:spacing w:after="0" w:line="240" w:lineRule="auto"/>
            </w:pPr>
            <w:r>
              <w:t>10</w:t>
            </w:r>
          </w:p>
        </w:tc>
        <w:tc>
          <w:tcPr>
            <w:tcW w:w="2160" w:type="dxa"/>
          </w:tcPr>
          <w:p w14:paraId="6DA06D8A">
            <w:pPr>
              <w:spacing w:after="0" w:line="240" w:lineRule="auto"/>
            </w:pPr>
            <w:r>
              <w:t>Finalize carton marks, mixed-SKU packing rules, and packing verification checklist</w:t>
            </w:r>
          </w:p>
        </w:tc>
      </w:tr>
      <w:tr w14:paraId="1ED4B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112023DC">
            <w:pPr>
              <w:spacing w:after="0" w:line="240" w:lineRule="auto"/>
            </w:pPr>
            <w:r>
              <w:t>Shipping docs + booking cut-offs</w:t>
            </w:r>
          </w:p>
        </w:tc>
        <w:tc>
          <w:tcPr>
            <w:tcW w:w="2160" w:type="dxa"/>
          </w:tcPr>
          <w:p w14:paraId="67B16379">
            <w:pPr>
              <w:spacing w:after="0" w:line="240" w:lineRule="auto"/>
            </w:pPr>
            <w:r>
              <w:t>9</w:t>
            </w:r>
          </w:p>
        </w:tc>
        <w:tc>
          <w:tcPr>
            <w:tcW w:w="2160" w:type="dxa"/>
          </w:tcPr>
          <w:p w14:paraId="40830249">
            <w:pPr>
              <w:spacing w:after="0" w:line="240" w:lineRule="auto"/>
            </w:pPr>
            <w:r>
              <w:t>10</w:t>
            </w:r>
          </w:p>
        </w:tc>
        <w:tc>
          <w:tcPr>
            <w:tcW w:w="2160" w:type="dxa"/>
          </w:tcPr>
          <w:p w14:paraId="78B271B6">
            <w:pPr>
              <w:spacing w:after="0" w:line="240" w:lineRule="auto"/>
            </w:pPr>
            <w:r>
              <w:t>Prepare CI/PL/carton data drafts; confirm consignee/notify party; send packing data to forwarder</w:t>
            </w:r>
          </w:p>
        </w:tc>
      </w:tr>
      <w:tr w14:paraId="2898E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0BD1046E">
            <w:pPr>
              <w:spacing w:after="0" w:line="240" w:lineRule="auto"/>
            </w:pPr>
            <w:r>
              <w:t>Transit (depends on method)</w:t>
            </w:r>
          </w:p>
        </w:tc>
        <w:tc>
          <w:tcPr>
            <w:tcW w:w="2160" w:type="dxa"/>
          </w:tcPr>
          <w:p w14:paraId="499EC9F2">
            <w:pPr>
              <w:spacing w:after="0" w:line="240" w:lineRule="auto"/>
            </w:pPr>
            <w:r>
              <w:t>10</w:t>
            </w:r>
          </w:p>
        </w:tc>
        <w:tc>
          <w:tcPr>
            <w:tcW w:w="2160" w:type="dxa"/>
          </w:tcPr>
          <w:p w14:paraId="76354618">
            <w:pPr>
              <w:spacing w:after="0" w:line="240" w:lineRule="auto"/>
            </w:pPr>
            <w:r>
              <w:t>—</w:t>
            </w:r>
          </w:p>
        </w:tc>
        <w:tc>
          <w:tcPr>
            <w:tcW w:w="2160" w:type="dxa"/>
          </w:tcPr>
          <w:p w14:paraId="0A43A741">
            <w:pPr>
              <w:spacing w:after="0" w:line="240" w:lineRule="auto"/>
            </w:pPr>
            <w:r>
              <w:t>Choose method early; plan buffer based on transit mode and delivery appointments</w:t>
            </w:r>
          </w:p>
        </w:tc>
      </w:tr>
    </w:tbl>
    <w:p w14:paraId="47925C2E"/>
    <w:p w14:paraId="4A21D3F9">
      <w:pPr>
        <w:pStyle w:val="4"/>
      </w:pPr>
      <w:r>
        <w:t>Key Inputs to Lock Early (To Protect Approvals + Reorders)</w:t>
      </w:r>
    </w:p>
    <w:p w14:paraId="1DD78262">
      <w:pPr>
        <w:pStyle w:val="16"/>
      </w:pPr>
      <w:r>
        <w:t>SKU list and variant rules (what changes vs what stays identical)</w:t>
      </w:r>
    </w:p>
    <w:p w14:paraId="24DD9EA2">
      <w:pPr>
        <w:pStyle w:val="16"/>
      </w:pPr>
      <w:r>
        <w:t>Fabric/hand-feel direction and color reference standard</w:t>
      </w:r>
    </w:p>
    <w:p w14:paraId="354FDAC0">
      <w:pPr>
        <w:pStyle w:val="16"/>
      </w:pPr>
      <w:r>
        <w:t>Decoration method split (what is embroidered vs printed vs patched)</w:t>
      </w:r>
    </w:p>
    <w:p w14:paraId="59108381">
      <w:pPr>
        <w:pStyle w:val="16"/>
      </w:pPr>
      <w:r>
        <w:t>Placement anchors for logo/labels (measurable reference points)</w:t>
      </w:r>
    </w:p>
    <w:p w14:paraId="0F845D45">
      <w:pPr>
        <w:pStyle w:val="16"/>
      </w:pPr>
      <w:r>
        <w:t>Packaging label requirements (barcode, warning text, language versions)</w:t>
      </w:r>
    </w:p>
    <w:p w14:paraId="60CA9671">
      <w:pPr>
        <w:pStyle w:val="16"/>
      </w:pPr>
      <w:r>
        <w:t>Carton marks format and mixed-SKU carton rules</w:t>
      </w:r>
    </w:p>
    <w:p w14:paraId="0EAD2082">
      <w:r>
        <w:t>Note: Templates help you plan realistically; lead time still depends on complexity, revision rounds, and shipping method.</w:t>
      </w:r>
    </w:p>
    <w:sectPr>
      <w:headerReference r:id="rId5" w:type="default"/>
      <w:footerReference r:id="rId6" w:type="default"/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D2DA29">
    <w:pPr>
      <w:pStyle w:val="3"/>
    </w:pPr>
    <w:r>
      <w:rPr>
        <w:rFonts w:hint="default" w:ascii="Arial" w:hAnsi="Arial" w:eastAsia="宋体" w:cs="Arial"/>
        <w:sz w:val="16"/>
        <w:szCs w:val="16"/>
        <w:lang w:val="en-US" w:eastAsia="zh-CN"/>
      </w:rPr>
      <w:t xml:space="preserve">From : </w:t>
    </w:r>
    <w:r>
      <w:rPr>
        <w:rFonts w:hint="eastAsia" w:ascii="Arial" w:hAnsi="Arial" w:eastAsia="宋体" w:cs="Arial"/>
        <w:sz w:val="16"/>
        <w:szCs w:val="16"/>
        <w:lang w:val="en-US" w:eastAsia="zh-CN"/>
      </w:rPr>
      <w:t xml:space="preserve"> </w:t>
    </w:r>
    <w:r>
      <w:rPr>
        <w:rFonts w:hint="default" w:ascii="Arial" w:hAnsi="Arial" w:eastAsia="宋体" w:cs="Arial"/>
        <w:sz w:val="16"/>
        <w:szCs w:val="16"/>
        <w:lang w:val="en-US" w:eastAsia="zh-CN"/>
      </w:rPr>
      <w:t xml:space="preserve">Uniomy Custom Plush Manufacturer           </w:t>
    </w:r>
    <w:r>
      <w:rPr>
        <w:rFonts w:hint="eastAsia" w:ascii="Arial" w:hAnsi="Arial" w:eastAsia="宋体" w:cs="Arial"/>
        <w:sz w:val="16"/>
        <w:szCs w:val="16"/>
        <w:lang w:val="en-US" w:eastAsia="zh-CN"/>
      </w:rPr>
      <w:t xml:space="preserve">                                                              </w:t>
    </w:r>
    <w:r>
      <w:rPr>
        <w:rFonts w:hint="default" w:ascii="Arial" w:hAnsi="Arial" w:eastAsia="宋体" w:cs="Arial"/>
        <w:sz w:val="16"/>
        <w:szCs w:val="16"/>
        <w:lang w:val="en-US" w:eastAsia="zh-CN"/>
      </w:rPr>
      <w:t>Nika: 86-198 8600 8806</w:t>
    </w:r>
  </w:p>
  <w:p w14:paraId="75FF1DB8">
    <w:pPr>
      <w:pStyle w:val="24"/>
    </w:pPr>
    <w:bookmarkStart w:id="0" w:name="_GoBack"/>
    <w:bookmarkEnd w:id="0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262E79">
    <w:pPr>
      <w:pStyle w:val="3"/>
    </w:pPr>
    <w:r>
      <w:rPr>
        <w:rFonts w:hint="default" w:ascii="Arial" w:hAnsi="Arial" w:eastAsia="宋体" w:cs="Arial"/>
        <w:sz w:val="16"/>
        <w:szCs w:val="16"/>
        <w:lang w:val="en-US" w:eastAsia="zh-CN"/>
      </w:rPr>
      <w:t xml:space="preserve">From : </w:t>
    </w:r>
    <w:r>
      <w:rPr>
        <w:rFonts w:hint="eastAsia" w:ascii="Arial" w:hAnsi="Arial" w:eastAsia="宋体" w:cs="Arial"/>
        <w:sz w:val="16"/>
        <w:szCs w:val="16"/>
        <w:lang w:val="en-US" w:eastAsia="zh-CN"/>
      </w:rPr>
      <w:t xml:space="preserve"> </w:t>
    </w:r>
    <w:r>
      <w:rPr>
        <w:rFonts w:hint="default" w:ascii="Arial" w:hAnsi="Arial" w:eastAsia="宋体" w:cs="Arial"/>
        <w:sz w:val="16"/>
        <w:szCs w:val="16"/>
        <w:lang w:val="en-US" w:eastAsia="zh-CN"/>
      </w:rPr>
      <w:t xml:space="preserve">Uniomy Custom Plush Manufacturer           </w:t>
    </w:r>
    <w:r>
      <w:rPr>
        <w:rFonts w:hint="eastAsia" w:ascii="Arial" w:hAnsi="Arial" w:eastAsia="宋体" w:cs="Arial"/>
        <w:sz w:val="16"/>
        <w:szCs w:val="16"/>
        <w:lang w:val="en-US" w:eastAsia="zh-CN"/>
      </w:rPr>
      <w:t xml:space="preserve">                                                              </w:t>
    </w:r>
    <w:r>
      <w:rPr>
        <w:rFonts w:hint="default" w:ascii="Arial" w:hAnsi="Arial" w:eastAsia="宋体" w:cs="Arial"/>
        <w:sz w:val="16"/>
        <w:szCs w:val="16"/>
        <w:lang w:val="en-US" w:eastAsia="zh-CN"/>
      </w:rPr>
      <w:t>Nika: 86-198 8600 8806</w:t>
    </w:r>
  </w:p>
  <w:p w14:paraId="6EA722DC">
    <w:pPr>
      <w:pStyle w:val="2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47843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qFormat/>
    <w:uiPriority w:val="99"/>
  </w:style>
  <w:style w:type="character" w:customStyle="1" w:styleId="145">
    <w:name w:val="Body Text 2 Char"/>
    <w:basedOn w:val="132"/>
    <w:link w:val="28"/>
    <w:qFormat/>
    <w:uiPriority w:val="99"/>
  </w:style>
  <w:style w:type="character" w:customStyle="1" w:styleId="146">
    <w:name w:val="Body Text 3 Char"/>
    <w:basedOn w:val="132"/>
    <w:link w:val="17"/>
    <w:qFormat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361</Words>
  <Characters>2141</Characters>
  <Lines>0</Lines>
  <Paragraphs>0</Paragraphs>
  <TotalTime>0</TotalTime>
  <ScaleCrop>false</ScaleCrop>
  <LinksUpToDate>false</LinksUpToDate>
  <CharactersWithSpaces>2444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1m芸嫣</cp:lastModifiedBy>
  <dcterms:modified xsi:type="dcterms:W3CDTF">2026-01-27T10:03:36Z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eyJoZGlkIjoiYjhmMzJjM2FhMzRlYmJjYWVhZTNiMDcwZTQ1NGI5ZDciLCJ1c2VySWQiOiI0OTY2NTU4ODAifQ==</vt:lpwstr>
  </property>
  <property fmtid="{D5CDD505-2E9C-101B-9397-08002B2CF9AE}" pid="3" name="KSOProductBuildVer">
    <vt:lpwstr>2052-12.1.0.24657</vt:lpwstr>
  </property>
  <property fmtid="{D5CDD505-2E9C-101B-9397-08002B2CF9AE}" pid="4" name="ICV">
    <vt:lpwstr>61CDEEF8331C4A4E8AEECAE4F3FF1E1A_12</vt:lpwstr>
  </property>
</Properties>
</file>